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vertAnchor="text" w:tblpXSpec="center" w:tblpY="1"/>
        <w:tblOverlap w:val="never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CF5D56" w:rsidRPr="00892855" w:rsidTr="007D226F">
        <w:trPr>
          <w:trHeight w:val="255"/>
        </w:trPr>
        <w:tc>
          <w:tcPr>
            <w:tcW w:w="9296" w:type="dxa"/>
            <w:shd w:val="clear" w:color="auto" w:fill="103884"/>
            <w:noWrap/>
            <w:vAlign w:val="bottom"/>
          </w:tcPr>
          <w:p w:rsidR="007A1DA7" w:rsidRPr="00D77D00" w:rsidRDefault="00F10B7A" w:rsidP="00F10B7A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6"/>
                <w:szCs w:val="36"/>
              </w:rPr>
            </w:pPr>
            <w:r w:rsidRPr="00D77D00">
              <w:rPr>
                <w:rFonts w:asciiTheme="minorHAnsi" w:hAnsiTheme="minorHAnsi" w:cstheme="minorHAnsi"/>
                <w:b/>
                <w:caps/>
                <w:color w:val="FFFFFF" w:themeColor="background1"/>
                <w:sz w:val="36"/>
                <w:szCs w:val="36"/>
              </w:rPr>
              <w:t>Management obchodu – řešení krizových situací</w:t>
            </w:r>
          </w:p>
        </w:tc>
      </w:tr>
      <w:tr w:rsidR="007D226F" w:rsidRPr="00892855" w:rsidTr="007D226F">
        <w:trPr>
          <w:trHeight w:hRule="exact" w:val="424"/>
        </w:trPr>
        <w:tc>
          <w:tcPr>
            <w:tcW w:w="9296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noWrap/>
            <w:hideMark/>
          </w:tcPr>
          <w:p w:rsidR="007D226F" w:rsidRPr="00D77D00" w:rsidRDefault="005E79E0" w:rsidP="007D226F">
            <w:pPr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77D00">
              <w:rPr>
                <w:b/>
                <w:bCs/>
                <w:noProof/>
                <w:sz w:val="28"/>
                <w:szCs w:val="28"/>
              </w:rPr>
              <w:t>JUDr. Oldřich Vacek</w:t>
            </w:r>
          </w:p>
        </w:tc>
      </w:tr>
      <w:tr w:rsidR="007D226F" w:rsidRPr="00892855" w:rsidTr="007D226F">
        <w:trPr>
          <w:trHeight w:hRule="exact" w:val="175"/>
        </w:trPr>
        <w:tc>
          <w:tcPr>
            <w:tcW w:w="9296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</w:tcPr>
          <w:p w:rsidR="007D226F" w:rsidRDefault="007D226F" w:rsidP="00CF5D56">
            <w:pPr>
              <w:spacing w:after="0" w:line="240" w:lineRule="auto"/>
              <w:jc w:val="both"/>
              <w:rPr>
                <w:noProof/>
              </w:rPr>
            </w:pPr>
          </w:p>
        </w:tc>
      </w:tr>
      <w:tr w:rsidR="00CF5D56" w:rsidRPr="00892855" w:rsidTr="00CF5D56">
        <w:trPr>
          <w:trHeight w:hRule="exact" w:val="420"/>
        </w:trPr>
        <w:tc>
          <w:tcPr>
            <w:tcW w:w="9296" w:type="dxa"/>
            <w:tcBorders>
              <w:bottom w:val="single" w:sz="4" w:space="0" w:color="000000" w:themeColor="text1"/>
            </w:tcBorders>
            <w:shd w:val="clear" w:color="auto" w:fill="D6A273"/>
            <w:noWrap/>
          </w:tcPr>
          <w:p w:rsidR="00CF5D56" w:rsidRPr="00E928A0" w:rsidRDefault="00CF5D56" w:rsidP="00CF5D5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928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CO ZÍSKÁTE </w:t>
            </w:r>
            <w:r w:rsidR="003B117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STUDIEM A </w:t>
            </w:r>
            <w:r w:rsidRPr="00E928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ABSOLVOVÁNÍM TOHOTO PŘEDMĚTU</w:t>
            </w:r>
          </w:p>
        </w:tc>
      </w:tr>
      <w:tr w:rsidR="00CF5D56" w:rsidRPr="00892855" w:rsidTr="005F2674">
        <w:trPr>
          <w:trHeight w:hRule="exact" w:val="4648"/>
        </w:trPr>
        <w:tc>
          <w:tcPr>
            <w:tcW w:w="9296" w:type="dxa"/>
            <w:tcBorders>
              <w:bottom w:val="single" w:sz="4" w:space="0" w:color="000000" w:themeColor="text1"/>
            </w:tcBorders>
            <w:noWrap/>
            <w:hideMark/>
          </w:tcPr>
          <w:p w:rsidR="00BD4743" w:rsidRDefault="00BD4743" w:rsidP="00CF5D5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4B0BB7" w:rsidRDefault="004B0BB7" w:rsidP="00CF5D5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Cílem tohoto předmětu je připomenout problémy, se kterými se ve své manažerské činnosti setkáváte a společně najít jejich vysvětlení a řešení, umožňující vyvarovat se chyb a následných ztrát.</w:t>
            </w:r>
            <w:r w:rsidR="005F2674">
              <w:rPr>
                <w:rFonts w:asciiTheme="minorHAnsi" w:hAnsiTheme="minorHAnsi" w:cstheme="minorHAnsi"/>
              </w:rPr>
              <w:t xml:space="preserve">  </w:t>
            </w:r>
            <w:r w:rsidR="005F2674">
              <w:rPr>
                <w:rFonts w:asciiTheme="minorHAnsi" w:hAnsiTheme="minorHAnsi" w:cstheme="minorHAnsi"/>
              </w:rPr>
              <w:t>Lektor má díky dlouholetému působení při řízení obchodních firem doma i v zahraničí rozsáhlé zkušenosti v řízení krizového managementu a práce s lidmi v evropských i mimoevropských relacích. Konzultovaná výsledná seminární práce Vám může posloužit jako prostředek k řešení určitého problému, který před Vámi jako manažerem (manažerkou) stojí.</w:t>
            </w:r>
          </w:p>
          <w:p w:rsidR="005F2674" w:rsidRDefault="005F2674" w:rsidP="00CF5D5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F2674" w:rsidRDefault="005F2674" w:rsidP="005F26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Studiem tohoto předmětu dále získáte především možnost průběžně </w:t>
            </w:r>
            <w:r w:rsidRPr="0087785D">
              <w:rPr>
                <w:rFonts w:asciiTheme="minorHAnsi" w:hAnsiTheme="minorHAnsi" w:cstheme="minorHAnsi"/>
                <w:b/>
              </w:rPr>
              <w:t>konzultovat reálné problémy, případy a situace z vaší praxe</w:t>
            </w:r>
            <w:r>
              <w:rPr>
                <w:rFonts w:asciiTheme="minorHAnsi" w:hAnsiTheme="minorHAnsi" w:cstheme="minorHAnsi"/>
              </w:rPr>
              <w:t xml:space="preserve"> s lektorem – </w:t>
            </w:r>
            <w:r w:rsidRPr="0087785D">
              <w:rPr>
                <w:rFonts w:asciiTheme="minorHAnsi" w:hAnsiTheme="minorHAnsi" w:cstheme="minorHAnsi"/>
                <w:b/>
              </w:rPr>
              <w:t>expertem na danou problematiku</w:t>
            </w:r>
            <w:r>
              <w:rPr>
                <w:rFonts w:asciiTheme="minorHAnsi" w:hAnsiTheme="minorHAnsi" w:cstheme="minorHAnsi"/>
              </w:rPr>
              <w:t xml:space="preserve">, a v rámci těchto konzultací pod jeho odborným vedením </w:t>
            </w:r>
            <w:r w:rsidRPr="0087785D">
              <w:rPr>
                <w:rFonts w:asciiTheme="minorHAnsi" w:hAnsiTheme="minorHAnsi" w:cstheme="minorHAnsi"/>
                <w:b/>
              </w:rPr>
              <w:t>zpracovat jejich řešení formou prakticky orientované případové studie</w:t>
            </w:r>
            <w:r>
              <w:rPr>
                <w:rFonts w:asciiTheme="minorHAnsi" w:hAnsiTheme="minorHAnsi" w:cstheme="minorHAnsi"/>
              </w:rPr>
              <w:t xml:space="preserve"> (seminární práce). Díky tomu, že konzultace neprobíhají skupinově, ale pouze přímo mezi vámi a lektorem, </w:t>
            </w:r>
            <w:r w:rsidRPr="0087785D">
              <w:rPr>
                <w:rFonts w:asciiTheme="minorHAnsi" w:hAnsiTheme="minorHAnsi" w:cstheme="minorHAnsi"/>
                <w:b/>
              </w:rPr>
              <w:t>můžete konzultovat i citlivé firemní záležitosti</w:t>
            </w:r>
            <w:r>
              <w:rPr>
                <w:rFonts w:asciiTheme="minorHAnsi" w:hAnsiTheme="minorHAnsi" w:cstheme="minorHAnsi"/>
              </w:rPr>
              <w:t>, včetně konkrétních dat atd., bez obav ze sdílení těchto údajů s dalšími studenty.</w:t>
            </w:r>
          </w:p>
          <w:p w:rsidR="005F2674" w:rsidRDefault="005F2674" w:rsidP="005F26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F2674" w:rsidRDefault="005F2674" w:rsidP="005F26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B3FE3">
              <w:rPr>
                <w:rFonts w:asciiTheme="minorHAnsi" w:hAnsiTheme="minorHAnsi" w:cstheme="minorHAnsi"/>
                <w:b/>
              </w:rPr>
              <w:t xml:space="preserve">Výstupem </w:t>
            </w:r>
            <w:r>
              <w:rPr>
                <w:rFonts w:asciiTheme="minorHAnsi" w:hAnsiTheme="minorHAnsi" w:cstheme="minorHAnsi"/>
                <w:b/>
              </w:rPr>
              <w:t xml:space="preserve">po absolvování </w:t>
            </w:r>
            <w:r w:rsidRPr="008B3FE3">
              <w:rPr>
                <w:rFonts w:asciiTheme="minorHAnsi" w:hAnsiTheme="minorHAnsi" w:cstheme="minorHAnsi"/>
                <w:b/>
              </w:rPr>
              <w:t xml:space="preserve">tohoto předmětu je tedy cenný dokument ihned dále použitelný ve vaší firmě či zaměstnání, s vysokou přidanou hodnotou díky </w:t>
            </w:r>
            <w:proofErr w:type="spellStart"/>
            <w:r w:rsidRPr="008B3FE3">
              <w:rPr>
                <w:rFonts w:asciiTheme="minorHAnsi" w:hAnsiTheme="minorHAnsi" w:cstheme="minorHAnsi"/>
                <w:b/>
              </w:rPr>
              <w:t>one</w:t>
            </w:r>
            <w:proofErr w:type="spellEnd"/>
            <w:r w:rsidRPr="008B3FE3">
              <w:rPr>
                <w:rFonts w:asciiTheme="minorHAnsi" w:hAnsiTheme="minorHAnsi" w:cstheme="minorHAnsi"/>
                <w:b/>
              </w:rPr>
              <w:t>-to-</w:t>
            </w:r>
            <w:proofErr w:type="spellStart"/>
            <w:r w:rsidRPr="008B3FE3">
              <w:rPr>
                <w:rFonts w:asciiTheme="minorHAnsi" w:hAnsiTheme="minorHAnsi" w:cstheme="minorHAnsi"/>
                <w:b/>
              </w:rPr>
              <w:t>one</w:t>
            </w:r>
            <w:proofErr w:type="spellEnd"/>
            <w:r w:rsidRPr="008B3FE3">
              <w:rPr>
                <w:rFonts w:asciiTheme="minorHAnsi" w:hAnsiTheme="minorHAnsi" w:cstheme="minorHAnsi"/>
                <w:b/>
              </w:rPr>
              <w:t xml:space="preserve"> konzultacím s odborníkem.</w:t>
            </w:r>
          </w:p>
          <w:p w:rsidR="005F2674" w:rsidRDefault="005F2674" w:rsidP="005F26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E79E0" w:rsidRPr="008B3FE3" w:rsidRDefault="005E79E0" w:rsidP="00426F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F5D56" w:rsidRPr="00892855" w:rsidTr="007542A7">
        <w:trPr>
          <w:trHeight w:hRule="exact" w:val="426"/>
        </w:trPr>
        <w:tc>
          <w:tcPr>
            <w:tcW w:w="9296" w:type="dxa"/>
            <w:tcBorders>
              <w:bottom w:val="single" w:sz="4" w:space="0" w:color="000000" w:themeColor="text1"/>
            </w:tcBorders>
            <w:shd w:val="clear" w:color="auto" w:fill="D6A273"/>
            <w:noWrap/>
          </w:tcPr>
          <w:p w:rsidR="005E79E0" w:rsidRDefault="007D226F" w:rsidP="005E79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928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OBLAST</w:t>
            </w:r>
            <w:r w:rsidR="007542A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</w:t>
            </w:r>
            <w:r w:rsidRPr="00E928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A TÉMAT</w:t>
            </w:r>
            <w:r w:rsidR="007542A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</w:t>
            </w:r>
            <w:r w:rsidRPr="00E928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V NICHŽ</w:t>
            </w:r>
            <w:r w:rsidR="00CF5D56" w:rsidRPr="00E928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MŮŽETE </w:t>
            </w:r>
            <w:r w:rsidRPr="00E928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S LEKTOREM/LEKTORKOU </w:t>
            </w:r>
            <w:r w:rsidR="00CF5D56" w:rsidRPr="00E928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KONZULTOVA</w:t>
            </w:r>
            <w:r w:rsidR="005E79E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</w:t>
            </w:r>
          </w:p>
          <w:p w:rsidR="005E79E0" w:rsidRPr="00E928A0" w:rsidRDefault="005E79E0" w:rsidP="005E79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F5D56" w:rsidRPr="00892855" w:rsidTr="007542A7">
        <w:trPr>
          <w:trHeight w:hRule="exact" w:val="1991"/>
        </w:trPr>
        <w:tc>
          <w:tcPr>
            <w:tcW w:w="9296" w:type="dxa"/>
            <w:tcBorders>
              <w:bottom w:val="single" w:sz="4" w:space="0" w:color="000000" w:themeColor="text1"/>
            </w:tcBorders>
            <w:noWrap/>
          </w:tcPr>
          <w:p w:rsidR="00F10B7A" w:rsidRDefault="009B0EA5" w:rsidP="007D226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Začínají problémy s dosud spolehlivým obchodním partnerem. Jak dál</w:t>
            </w:r>
            <w:r w:rsidR="00324BE0">
              <w:rPr>
                <w:rFonts w:asciiTheme="minorHAnsi" w:hAnsiTheme="minorHAnsi" w:cstheme="minorHAnsi"/>
              </w:rPr>
              <w:t>?</w:t>
            </w:r>
          </w:p>
          <w:p w:rsidR="007D226F" w:rsidRPr="00F10B7A" w:rsidRDefault="00324BE0" w:rsidP="007D226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Proč je dobré „nezavírat hlučně dveře“ při ukončení </w:t>
            </w:r>
            <w:r w:rsidR="009B0EA5">
              <w:rPr>
                <w:rFonts w:asciiTheme="minorHAnsi" w:hAnsiTheme="minorHAnsi" w:cstheme="minorHAnsi"/>
              </w:rPr>
              <w:t>spolupráce?</w:t>
            </w:r>
          </w:p>
          <w:p w:rsidR="007D226F" w:rsidRPr="007D226F" w:rsidRDefault="009B0EA5" w:rsidP="007D226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Kde je hranice při snaze prosadit zboží nebo program, kterou bychom neměli překročit?</w:t>
            </w:r>
          </w:p>
          <w:p w:rsidR="007D226F" w:rsidRDefault="009B0EA5" w:rsidP="007D226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Proč je tak důležitá trvalá styková činnost s obchodními partnery i když aktuálně s některými z nich business neprobíhá?</w:t>
            </w:r>
          </w:p>
          <w:p w:rsidR="009B0EA5" w:rsidRPr="007D226F" w:rsidRDefault="009B0EA5" w:rsidP="007D226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Čeho se při jednání s obchodními partnery vyvarovat?</w:t>
            </w:r>
          </w:p>
          <w:p w:rsidR="000365EF" w:rsidRDefault="000365EF" w:rsidP="007D226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Další témata v rámci odborné působnosti lektora, po vzájemné dohodě</w:t>
            </w:r>
          </w:p>
          <w:p w:rsidR="004B0BB7" w:rsidRPr="004B0BB7" w:rsidRDefault="004B0BB7" w:rsidP="004B0BB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E79E0" w:rsidRDefault="005E79E0" w:rsidP="005E79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E79E0" w:rsidRDefault="005E79E0" w:rsidP="005E79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E79E0" w:rsidRDefault="005E79E0" w:rsidP="005E79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E79E0" w:rsidRPr="005E79E0" w:rsidRDefault="005E79E0" w:rsidP="005E79E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5D56" w:rsidRPr="00892855" w:rsidTr="00CF5D56">
        <w:trPr>
          <w:trHeight w:hRule="exact" w:val="418"/>
        </w:trPr>
        <w:tc>
          <w:tcPr>
            <w:tcW w:w="9296" w:type="dxa"/>
            <w:tcBorders>
              <w:bottom w:val="single" w:sz="4" w:space="0" w:color="000000" w:themeColor="text1"/>
            </w:tcBorders>
            <w:shd w:val="clear" w:color="auto" w:fill="D6A273"/>
            <w:noWrap/>
          </w:tcPr>
          <w:p w:rsidR="00CF5D56" w:rsidRPr="00E928A0" w:rsidRDefault="00CF5D56" w:rsidP="00CF5D56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928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ZPŮSOB ABSOLVOVÁNÍ PŘEDMĚTU</w:t>
            </w:r>
          </w:p>
        </w:tc>
      </w:tr>
      <w:tr w:rsidR="00CF5D56" w:rsidRPr="00892855" w:rsidTr="007542A7">
        <w:trPr>
          <w:trHeight w:hRule="exact" w:val="1705"/>
        </w:trPr>
        <w:tc>
          <w:tcPr>
            <w:tcW w:w="9296" w:type="dxa"/>
            <w:tcBorders>
              <w:bottom w:val="single" w:sz="4" w:space="0" w:color="000000" w:themeColor="text1"/>
            </w:tcBorders>
            <w:noWrap/>
          </w:tcPr>
          <w:p w:rsidR="00CF5D56" w:rsidRDefault="00CF5D56" w:rsidP="00CF5D56">
            <w:pPr>
              <w:jc w:val="both"/>
              <w:rPr>
                <w:rFonts w:asciiTheme="minorHAnsi" w:hAnsiTheme="minorHAnsi" w:cstheme="minorHAnsi"/>
              </w:rPr>
            </w:pPr>
            <w:r w:rsidRPr="008516DA">
              <w:rPr>
                <w:rFonts w:asciiTheme="minorHAnsi" w:hAnsiTheme="minorHAnsi" w:cstheme="minorHAnsi"/>
              </w:rPr>
              <w:t xml:space="preserve">Předmět je zakončen zpracováním </w:t>
            </w:r>
            <w:r w:rsidRPr="00863611">
              <w:rPr>
                <w:rFonts w:asciiTheme="minorHAnsi" w:hAnsiTheme="minorHAnsi" w:cstheme="minorHAnsi"/>
                <w:b/>
              </w:rPr>
              <w:t>seminární práce</w:t>
            </w:r>
            <w:r w:rsidRPr="008516DA">
              <w:rPr>
                <w:rFonts w:asciiTheme="minorHAnsi" w:hAnsiTheme="minorHAnsi" w:cstheme="minorHAnsi"/>
              </w:rPr>
              <w:t xml:space="preserve">, v níž student </w:t>
            </w:r>
            <w:r w:rsidRPr="00BD4743">
              <w:rPr>
                <w:rFonts w:asciiTheme="minorHAnsi" w:hAnsiTheme="minorHAnsi" w:cstheme="minorHAnsi"/>
                <w:b/>
              </w:rPr>
              <w:t>řeší konkrétní téma ze své praxe</w:t>
            </w:r>
            <w:r w:rsidRPr="008516DA">
              <w:rPr>
                <w:rFonts w:asciiTheme="minorHAnsi" w:hAnsiTheme="minorHAnsi" w:cstheme="minorHAnsi"/>
              </w:rPr>
              <w:t xml:space="preserve">, týkající se daného předmětu, případně </w:t>
            </w:r>
            <w:r w:rsidRPr="00B65EB6">
              <w:rPr>
                <w:rFonts w:asciiTheme="minorHAnsi" w:hAnsiTheme="minorHAnsi" w:cstheme="minorHAnsi"/>
                <w:b/>
              </w:rPr>
              <w:t>některé z modelových témat připravených lektorem</w:t>
            </w:r>
            <w:r w:rsidRPr="008516DA">
              <w:rPr>
                <w:rFonts w:asciiTheme="minorHAnsi" w:hAnsiTheme="minorHAnsi" w:cstheme="minorHAnsi"/>
              </w:rPr>
              <w:t xml:space="preserve"> (viz níže). Seminární práce je zpracovávána v rozsahu </w:t>
            </w:r>
            <w:r w:rsidR="003B117E" w:rsidRPr="003B117E">
              <w:rPr>
                <w:rFonts w:asciiTheme="minorHAnsi" w:hAnsiTheme="minorHAnsi" w:cstheme="minorHAnsi"/>
                <w:b/>
              </w:rPr>
              <w:t>7</w:t>
            </w:r>
            <w:r w:rsidRPr="00863611">
              <w:rPr>
                <w:rFonts w:asciiTheme="minorHAnsi" w:hAnsiTheme="minorHAnsi" w:cstheme="minorHAnsi"/>
                <w:b/>
              </w:rPr>
              <w:t>-10 stran formátu A4</w:t>
            </w:r>
            <w:r w:rsidRPr="008516DA">
              <w:rPr>
                <w:rFonts w:asciiTheme="minorHAnsi" w:hAnsiTheme="minorHAnsi" w:cstheme="minorHAnsi"/>
              </w:rPr>
              <w:t xml:space="preserve">, z toho se musí jednat alespoň o </w:t>
            </w:r>
            <w:r w:rsidRPr="00863611">
              <w:rPr>
                <w:rFonts w:asciiTheme="minorHAnsi" w:hAnsiTheme="minorHAnsi" w:cstheme="minorHAnsi"/>
                <w:b/>
              </w:rPr>
              <w:t>8 normostran textu</w:t>
            </w:r>
            <w:r w:rsidRPr="008516DA">
              <w:rPr>
                <w:rFonts w:asciiTheme="minorHAnsi" w:hAnsiTheme="minorHAnsi" w:cstheme="minorHAnsi"/>
              </w:rPr>
              <w:t>.</w:t>
            </w:r>
            <w:r w:rsidR="007D226F">
              <w:rPr>
                <w:rFonts w:asciiTheme="minorHAnsi" w:hAnsiTheme="minorHAnsi" w:cstheme="minorHAnsi"/>
              </w:rPr>
              <w:t xml:space="preserve"> Seminární práce je lektorem ohodnocena procentuáln</w:t>
            </w:r>
            <w:r w:rsidR="003B117E">
              <w:rPr>
                <w:rFonts w:asciiTheme="minorHAnsi" w:hAnsiTheme="minorHAnsi" w:cstheme="minorHAnsi"/>
              </w:rPr>
              <w:t>ě</w:t>
            </w:r>
            <w:r w:rsidR="007D226F">
              <w:rPr>
                <w:rFonts w:asciiTheme="minorHAnsi" w:hAnsiTheme="minorHAnsi" w:cstheme="minorHAnsi"/>
              </w:rPr>
              <w:t xml:space="preserve">, přičemž </w:t>
            </w:r>
            <w:r w:rsidR="007D226F" w:rsidRPr="00863611">
              <w:rPr>
                <w:rFonts w:asciiTheme="minorHAnsi" w:hAnsiTheme="minorHAnsi" w:cstheme="minorHAnsi"/>
                <w:b/>
              </w:rPr>
              <w:t>50 % a více</w:t>
            </w:r>
            <w:r w:rsidR="007D226F">
              <w:rPr>
                <w:rFonts w:asciiTheme="minorHAnsi" w:hAnsiTheme="minorHAnsi" w:cstheme="minorHAnsi"/>
              </w:rPr>
              <w:t xml:space="preserve"> znamená </w:t>
            </w:r>
            <w:r w:rsidR="007D226F" w:rsidRPr="00863611">
              <w:rPr>
                <w:rFonts w:asciiTheme="minorHAnsi" w:hAnsiTheme="minorHAnsi" w:cstheme="minorHAnsi"/>
                <w:b/>
              </w:rPr>
              <w:t>úspěšné absolvování daného předmětu</w:t>
            </w:r>
            <w:r w:rsidR="007D226F">
              <w:rPr>
                <w:rFonts w:asciiTheme="minorHAnsi" w:hAnsiTheme="minorHAnsi" w:cstheme="minorHAnsi"/>
              </w:rPr>
              <w:t>.</w:t>
            </w:r>
          </w:p>
          <w:p w:rsidR="005E79E0" w:rsidRDefault="005E79E0" w:rsidP="00CF5D56">
            <w:pPr>
              <w:jc w:val="both"/>
              <w:rPr>
                <w:rFonts w:asciiTheme="minorHAnsi" w:hAnsiTheme="minorHAnsi" w:cstheme="minorHAnsi"/>
              </w:rPr>
            </w:pPr>
          </w:p>
          <w:p w:rsidR="005E79E0" w:rsidRDefault="005E79E0" w:rsidP="00CF5D56">
            <w:pPr>
              <w:jc w:val="both"/>
              <w:rPr>
                <w:rFonts w:asciiTheme="minorHAnsi" w:hAnsiTheme="minorHAnsi" w:cstheme="minorHAnsi"/>
              </w:rPr>
            </w:pPr>
          </w:p>
          <w:p w:rsidR="005E79E0" w:rsidRDefault="005E79E0" w:rsidP="00CF5D56">
            <w:pPr>
              <w:jc w:val="both"/>
              <w:rPr>
                <w:rFonts w:asciiTheme="minorHAnsi" w:hAnsiTheme="minorHAnsi" w:cstheme="minorHAnsi"/>
              </w:rPr>
            </w:pPr>
          </w:p>
          <w:p w:rsidR="005E79E0" w:rsidRDefault="005E79E0" w:rsidP="00CF5D56">
            <w:pPr>
              <w:jc w:val="both"/>
              <w:rPr>
                <w:rFonts w:asciiTheme="minorHAnsi" w:hAnsiTheme="minorHAnsi" w:cstheme="minorHAnsi"/>
              </w:rPr>
            </w:pPr>
          </w:p>
          <w:p w:rsidR="005E79E0" w:rsidRDefault="005E79E0" w:rsidP="00CF5D56">
            <w:pPr>
              <w:jc w:val="both"/>
              <w:rPr>
                <w:rFonts w:asciiTheme="minorHAnsi" w:hAnsiTheme="minorHAnsi" w:cstheme="minorHAnsi"/>
              </w:rPr>
            </w:pPr>
          </w:p>
          <w:p w:rsidR="005E79E0" w:rsidRPr="008516DA" w:rsidRDefault="005E79E0" w:rsidP="00CF5D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5D56" w:rsidRPr="00892855" w:rsidTr="00CF5D56">
        <w:trPr>
          <w:trHeight w:val="315"/>
        </w:trPr>
        <w:tc>
          <w:tcPr>
            <w:tcW w:w="9296" w:type="dxa"/>
            <w:shd w:val="clear" w:color="auto" w:fill="D6A273"/>
            <w:noWrap/>
          </w:tcPr>
          <w:p w:rsidR="00CF5D56" w:rsidRPr="00E928A0" w:rsidRDefault="00CF5D56" w:rsidP="00CF5D5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928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MODELOVÁ TÉMATA SEMINÁRNÍ PRÁCE</w:t>
            </w:r>
          </w:p>
        </w:tc>
      </w:tr>
      <w:tr w:rsidR="00CF5D56" w:rsidRPr="00892855" w:rsidTr="00CF5D56">
        <w:trPr>
          <w:trHeight w:val="315"/>
        </w:trPr>
        <w:tc>
          <w:tcPr>
            <w:tcW w:w="9296" w:type="dxa"/>
            <w:shd w:val="clear" w:color="auto" w:fill="auto"/>
            <w:noWrap/>
          </w:tcPr>
          <w:p w:rsidR="00CF5D56" w:rsidRPr="00D77D00" w:rsidRDefault="00CF5D56" w:rsidP="0058664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D00">
              <w:rPr>
                <w:rFonts w:asciiTheme="minorHAnsi" w:hAnsiTheme="minorHAnsi" w:cstheme="minorHAnsi"/>
                <w:bCs/>
              </w:rPr>
              <w:t xml:space="preserve">1. </w:t>
            </w:r>
            <w:r w:rsidR="00386A14" w:rsidRPr="00D77D00">
              <w:rPr>
                <w:rFonts w:asciiTheme="minorHAnsi" w:hAnsiTheme="minorHAnsi" w:cstheme="minorHAnsi"/>
                <w:bCs/>
              </w:rPr>
              <w:t>Východiska při</w:t>
            </w:r>
            <w:r w:rsidR="009B0EA5" w:rsidRPr="00D77D00">
              <w:rPr>
                <w:rFonts w:asciiTheme="minorHAnsi" w:hAnsiTheme="minorHAnsi" w:cstheme="minorHAnsi"/>
                <w:bCs/>
              </w:rPr>
              <w:t xml:space="preserve"> zhoršen</w:t>
            </w:r>
            <w:r w:rsidR="00386A14" w:rsidRPr="00D77D00">
              <w:rPr>
                <w:rFonts w:asciiTheme="minorHAnsi" w:hAnsiTheme="minorHAnsi" w:cstheme="minorHAnsi"/>
                <w:bCs/>
              </w:rPr>
              <w:t>é</w:t>
            </w:r>
            <w:r w:rsidR="009B0EA5" w:rsidRPr="00D77D00">
              <w:rPr>
                <w:rFonts w:asciiTheme="minorHAnsi" w:hAnsiTheme="minorHAnsi" w:cstheme="minorHAnsi"/>
                <w:bCs/>
              </w:rPr>
              <w:t xml:space="preserve"> platební morál</w:t>
            </w:r>
            <w:r w:rsidR="00586649" w:rsidRPr="00D77D00">
              <w:rPr>
                <w:rFonts w:asciiTheme="minorHAnsi" w:hAnsiTheme="minorHAnsi" w:cstheme="minorHAnsi"/>
                <w:bCs/>
              </w:rPr>
              <w:t>ce</w:t>
            </w:r>
            <w:r w:rsidR="009B0EA5" w:rsidRPr="00D77D00">
              <w:rPr>
                <w:rFonts w:asciiTheme="minorHAnsi" w:hAnsiTheme="minorHAnsi" w:cstheme="minorHAnsi"/>
                <w:bCs/>
              </w:rPr>
              <w:t xml:space="preserve"> dosud spolehlivého odběratele/zástupce</w:t>
            </w:r>
          </w:p>
        </w:tc>
      </w:tr>
      <w:tr w:rsidR="00CF5D56" w:rsidRPr="00892855" w:rsidTr="00CF5D56">
        <w:trPr>
          <w:trHeight w:val="315"/>
        </w:trPr>
        <w:tc>
          <w:tcPr>
            <w:tcW w:w="9296" w:type="dxa"/>
            <w:shd w:val="clear" w:color="auto" w:fill="auto"/>
            <w:noWrap/>
          </w:tcPr>
          <w:p w:rsidR="00CF5D56" w:rsidRPr="00D77D00" w:rsidRDefault="00CF5D56" w:rsidP="00386A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D00">
              <w:rPr>
                <w:rFonts w:asciiTheme="minorHAnsi" w:hAnsiTheme="minorHAnsi" w:cstheme="minorHAnsi"/>
                <w:bCs/>
              </w:rPr>
              <w:t>2.</w:t>
            </w:r>
            <w:r w:rsidR="003F4B75" w:rsidRPr="00D77D00">
              <w:rPr>
                <w:rFonts w:asciiTheme="minorHAnsi" w:hAnsiTheme="minorHAnsi" w:cstheme="minorHAnsi"/>
                <w:bCs/>
              </w:rPr>
              <w:t xml:space="preserve"> </w:t>
            </w:r>
            <w:r w:rsidR="00386A14" w:rsidRPr="00D77D00">
              <w:rPr>
                <w:rFonts w:asciiTheme="minorHAnsi" w:hAnsiTheme="minorHAnsi" w:cstheme="minorHAnsi"/>
                <w:bCs/>
              </w:rPr>
              <w:t>Úspěšná účast</w:t>
            </w:r>
            <w:r w:rsidR="003F4B75" w:rsidRPr="00D77D00">
              <w:rPr>
                <w:rFonts w:asciiTheme="minorHAnsi" w:hAnsiTheme="minorHAnsi" w:cstheme="minorHAnsi"/>
                <w:bCs/>
              </w:rPr>
              <w:t xml:space="preserve"> v tendrech a veřejných soutěžích doma i v zahraničí</w:t>
            </w:r>
          </w:p>
        </w:tc>
      </w:tr>
      <w:tr w:rsidR="00CF5D56" w:rsidRPr="00892855" w:rsidTr="00CF5D56">
        <w:trPr>
          <w:trHeight w:val="315"/>
        </w:trPr>
        <w:tc>
          <w:tcPr>
            <w:tcW w:w="9296" w:type="dxa"/>
            <w:shd w:val="clear" w:color="auto" w:fill="auto"/>
            <w:noWrap/>
          </w:tcPr>
          <w:p w:rsidR="00CF5D56" w:rsidRPr="00D77D00" w:rsidRDefault="00CF5D56" w:rsidP="00386A1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D00">
              <w:rPr>
                <w:rFonts w:asciiTheme="minorHAnsi" w:hAnsiTheme="minorHAnsi" w:cstheme="minorHAnsi"/>
                <w:bCs/>
              </w:rPr>
              <w:t xml:space="preserve">3. </w:t>
            </w:r>
            <w:r w:rsidR="003F4B75" w:rsidRPr="00D77D00">
              <w:rPr>
                <w:rFonts w:asciiTheme="minorHAnsi" w:hAnsiTheme="minorHAnsi" w:cstheme="minorHAnsi"/>
                <w:bCs/>
              </w:rPr>
              <w:t>Využití dotačních stimulů v</w:t>
            </w:r>
            <w:r w:rsidR="00386A14" w:rsidRPr="00D77D00">
              <w:rPr>
                <w:rFonts w:asciiTheme="minorHAnsi" w:hAnsiTheme="minorHAnsi" w:cstheme="minorHAnsi"/>
                <w:bCs/>
              </w:rPr>
              <w:t> mezinárodním obchodě</w:t>
            </w:r>
            <w:r w:rsidR="00D75ABA" w:rsidRPr="00D77D00">
              <w:rPr>
                <w:rFonts w:asciiTheme="minorHAnsi" w:hAnsiTheme="minorHAnsi" w:cstheme="minorHAnsi"/>
                <w:bCs/>
              </w:rPr>
              <w:t xml:space="preserve">. </w:t>
            </w:r>
            <w:r w:rsidR="0077483E" w:rsidRPr="00D77D00">
              <w:rPr>
                <w:rFonts w:asciiTheme="minorHAnsi" w:hAnsiTheme="minorHAnsi" w:cstheme="minorHAnsi"/>
                <w:bCs/>
              </w:rPr>
              <w:t>Elektronizace obchodní</w:t>
            </w:r>
            <w:r w:rsidR="00426F18" w:rsidRPr="00D77D00">
              <w:rPr>
                <w:rFonts w:asciiTheme="minorHAnsi" w:hAnsiTheme="minorHAnsi" w:cstheme="minorHAnsi"/>
                <w:bCs/>
              </w:rPr>
              <w:t>ch</w:t>
            </w:r>
            <w:r w:rsidR="0077483E" w:rsidRPr="00D77D00">
              <w:rPr>
                <w:rFonts w:asciiTheme="minorHAnsi" w:hAnsiTheme="minorHAnsi" w:cstheme="minorHAnsi"/>
                <w:bCs/>
              </w:rPr>
              <w:t xml:space="preserve"> procesů.</w:t>
            </w:r>
          </w:p>
        </w:tc>
      </w:tr>
      <w:tr w:rsidR="00CF5D56" w:rsidRPr="00892855" w:rsidTr="00CF5D56">
        <w:trPr>
          <w:trHeight w:val="315"/>
        </w:trPr>
        <w:tc>
          <w:tcPr>
            <w:tcW w:w="9296" w:type="dxa"/>
            <w:shd w:val="clear" w:color="auto" w:fill="auto"/>
            <w:noWrap/>
          </w:tcPr>
          <w:p w:rsidR="00CF5D56" w:rsidRPr="00D77D00" w:rsidRDefault="00CF5D56" w:rsidP="00426F1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D00">
              <w:rPr>
                <w:rFonts w:asciiTheme="minorHAnsi" w:hAnsiTheme="minorHAnsi" w:cstheme="minorHAnsi"/>
                <w:bCs/>
              </w:rPr>
              <w:t xml:space="preserve">4. </w:t>
            </w:r>
            <w:r w:rsidR="00426F18" w:rsidRPr="00D77D00">
              <w:rPr>
                <w:rFonts w:asciiTheme="minorHAnsi" w:hAnsiTheme="minorHAnsi" w:cstheme="minorHAnsi"/>
                <w:bCs/>
              </w:rPr>
              <w:t>Jek pracovat</w:t>
            </w:r>
            <w:r w:rsidR="00386A14" w:rsidRPr="00D77D00">
              <w:rPr>
                <w:rFonts w:asciiTheme="minorHAnsi" w:hAnsiTheme="minorHAnsi" w:cstheme="minorHAnsi"/>
                <w:bCs/>
              </w:rPr>
              <w:t xml:space="preserve"> s bankovními a obchodními informacemi</w:t>
            </w:r>
          </w:p>
        </w:tc>
      </w:tr>
      <w:tr w:rsidR="00CF5D56" w:rsidRPr="00892855" w:rsidTr="00CF5D56">
        <w:trPr>
          <w:trHeight w:val="315"/>
        </w:trPr>
        <w:tc>
          <w:tcPr>
            <w:tcW w:w="9296" w:type="dxa"/>
            <w:shd w:val="clear" w:color="auto" w:fill="auto"/>
            <w:noWrap/>
          </w:tcPr>
          <w:p w:rsidR="00CF5D56" w:rsidRPr="00D77D00" w:rsidRDefault="00CF5D56" w:rsidP="00CF5D5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D00">
              <w:rPr>
                <w:rFonts w:asciiTheme="minorHAnsi" w:hAnsiTheme="minorHAnsi" w:cstheme="minorHAnsi"/>
                <w:bCs/>
              </w:rPr>
              <w:t>5.</w:t>
            </w:r>
            <w:r w:rsidR="00386A14" w:rsidRPr="00D77D00">
              <w:rPr>
                <w:rFonts w:asciiTheme="minorHAnsi" w:hAnsiTheme="minorHAnsi" w:cstheme="minorHAnsi"/>
                <w:bCs/>
              </w:rPr>
              <w:t xml:space="preserve"> Význam osobnosti a umění komunikace v obchodní činnosti</w:t>
            </w:r>
          </w:p>
        </w:tc>
      </w:tr>
      <w:tr w:rsidR="00CF5D56" w:rsidRPr="00892855" w:rsidTr="00CF5D56">
        <w:trPr>
          <w:trHeight w:val="315"/>
        </w:trPr>
        <w:tc>
          <w:tcPr>
            <w:tcW w:w="9296" w:type="dxa"/>
            <w:shd w:val="clear" w:color="auto" w:fill="D6A273"/>
            <w:noWrap/>
          </w:tcPr>
          <w:p w:rsidR="00CF5D56" w:rsidRPr="007D226F" w:rsidRDefault="00CF5D56" w:rsidP="00CF5D5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D226F">
              <w:rPr>
                <w:rFonts w:asciiTheme="minorHAnsi" w:hAnsiTheme="minorHAnsi" w:cstheme="minorHAnsi"/>
                <w:b/>
                <w:color w:val="FFFFFF" w:themeColor="background1"/>
              </w:rPr>
              <w:t>STUDIJNÍ LITERATURA A DALŠÍ ZDROJE</w:t>
            </w:r>
          </w:p>
        </w:tc>
      </w:tr>
      <w:tr w:rsidR="00CF5D56" w:rsidRPr="00892855" w:rsidTr="00CF5D56">
        <w:trPr>
          <w:trHeight w:hRule="exact" w:val="284"/>
        </w:trPr>
        <w:tc>
          <w:tcPr>
            <w:tcW w:w="9296" w:type="dxa"/>
            <w:noWrap/>
          </w:tcPr>
          <w:p w:rsidR="00CF5D56" w:rsidRPr="00892855" w:rsidRDefault="00CF5D56" w:rsidP="00CF5D56">
            <w:pPr>
              <w:rPr>
                <w:rFonts w:asciiTheme="minorHAnsi" w:hAnsiTheme="minorHAnsi" w:cstheme="minorHAnsi"/>
                <w:bCs/>
              </w:rPr>
            </w:pPr>
            <w:r w:rsidRPr="00892855">
              <w:rPr>
                <w:rFonts w:asciiTheme="minorHAnsi" w:hAnsiTheme="minorHAnsi" w:cstheme="minorHAnsi"/>
                <w:bCs/>
              </w:rPr>
              <w:lastRenderedPageBreak/>
              <w:t>Podpůrné studijní materiály zpracované lektorem (k dispozici online ve studijním systému)</w:t>
            </w:r>
          </w:p>
        </w:tc>
      </w:tr>
      <w:tr w:rsidR="00CF5D56" w:rsidRPr="00892855" w:rsidTr="00CF5D56">
        <w:trPr>
          <w:trHeight w:hRule="exact" w:val="284"/>
        </w:trPr>
        <w:tc>
          <w:tcPr>
            <w:tcW w:w="9296" w:type="dxa"/>
            <w:shd w:val="clear" w:color="auto" w:fill="8DB3E2" w:themeFill="text2" w:themeFillTint="66"/>
            <w:noWrap/>
          </w:tcPr>
          <w:p w:rsidR="00CF5D56" w:rsidRPr="00892855" w:rsidRDefault="00CF5D56" w:rsidP="00CF5D5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92855">
              <w:rPr>
                <w:rFonts w:asciiTheme="minorHAnsi" w:hAnsiTheme="minorHAnsi" w:cstheme="minorHAnsi"/>
                <w:b/>
              </w:rPr>
              <w:t>Elektronické knihy z online knihovny Bookport</w:t>
            </w:r>
            <w:r w:rsidR="00863611">
              <w:rPr>
                <w:rFonts w:asciiTheme="minorHAnsi" w:hAnsiTheme="minorHAnsi" w:cstheme="minorHAnsi"/>
                <w:b/>
              </w:rPr>
              <w:t xml:space="preserve"> od nakladatelství Grada</w:t>
            </w:r>
            <w:r w:rsidRPr="00892855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D226F" w:rsidRPr="00892855" w:rsidTr="00D77D00">
        <w:trPr>
          <w:trHeight w:hRule="exact" w:val="577"/>
        </w:trPr>
        <w:tc>
          <w:tcPr>
            <w:tcW w:w="9296" w:type="dxa"/>
            <w:noWrap/>
          </w:tcPr>
          <w:p w:rsidR="007D226F" w:rsidRPr="00892855" w:rsidRDefault="00D77D00" w:rsidP="00CF5D56">
            <w:pPr>
              <w:rPr>
                <w:rFonts w:asciiTheme="minorHAnsi" w:hAnsiTheme="minorHAnsi" w:cstheme="minorHAnsi"/>
              </w:rPr>
            </w:pPr>
            <w:r w:rsidRPr="00D77D00">
              <w:rPr>
                <w:rFonts w:asciiTheme="minorHAnsi" w:hAnsiTheme="minorHAnsi" w:cstheme="minorHAnsi"/>
              </w:rPr>
              <w:t xml:space="preserve">KOTLER, Philip a Kevin </w:t>
            </w:r>
            <w:proofErr w:type="spellStart"/>
            <w:r w:rsidRPr="00D77D00">
              <w:rPr>
                <w:rFonts w:asciiTheme="minorHAnsi" w:hAnsiTheme="minorHAnsi" w:cstheme="minorHAnsi"/>
              </w:rPr>
              <w:t>Lane</w:t>
            </w:r>
            <w:proofErr w:type="spellEnd"/>
            <w:r w:rsidRPr="00D77D00">
              <w:rPr>
                <w:rFonts w:asciiTheme="minorHAnsi" w:hAnsiTheme="minorHAnsi" w:cstheme="minorHAnsi"/>
              </w:rPr>
              <w:t xml:space="preserve"> KELLER. </w:t>
            </w:r>
            <w:r w:rsidRPr="00D77D00">
              <w:rPr>
                <w:rFonts w:asciiTheme="minorHAnsi" w:hAnsiTheme="minorHAnsi" w:cstheme="minorHAnsi"/>
                <w:i/>
                <w:iCs/>
              </w:rPr>
              <w:t>Marketing management</w:t>
            </w:r>
            <w:r w:rsidRPr="00D77D00">
              <w:rPr>
                <w:rFonts w:asciiTheme="minorHAnsi" w:hAnsiTheme="minorHAnsi" w:cstheme="minorHAnsi"/>
              </w:rPr>
              <w:t>. [4. vyd.]. Přeložil Tomáš JUPPA, přeložil Martin MACHEK. Praha: Grada, 2013. ISBN 978-80-247-4150-5.</w:t>
            </w:r>
            <w:r>
              <w:rPr>
                <w:rFonts w:asciiTheme="minorHAnsi" w:hAnsiTheme="minorHAnsi" w:cstheme="minorHAnsi"/>
              </w:rPr>
              <w:t xml:space="preserve"> (Online </w:t>
            </w:r>
            <w:hyperlink r:id="rId8" w:history="1">
              <w:r w:rsidRPr="00D77D00">
                <w:rPr>
                  <w:rStyle w:val="Hypertextovodkaz"/>
                  <w:rFonts w:asciiTheme="minorHAnsi" w:hAnsiTheme="minorHAnsi" w:cstheme="minorHAnsi"/>
                </w:rPr>
                <w:t>ZDE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F5D56" w:rsidRPr="00892855" w:rsidTr="00CF5D56">
        <w:trPr>
          <w:trHeight w:hRule="exact" w:val="284"/>
        </w:trPr>
        <w:tc>
          <w:tcPr>
            <w:tcW w:w="9296" w:type="dxa"/>
            <w:shd w:val="clear" w:color="auto" w:fill="8DB3E2" w:themeFill="text2" w:themeFillTint="66"/>
            <w:noWrap/>
            <w:hideMark/>
          </w:tcPr>
          <w:p w:rsidR="00CF5D56" w:rsidRPr="00892855" w:rsidRDefault="00CF5D56" w:rsidP="00CF5D56">
            <w:pPr>
              <w:tabs>
                <w:tab w:val="left" w:pos="27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Ostatní s</w:t>
            </w:r>
            <w:r w:rsidRPr="00892855">
              <w:rPr>
                <w:rFonts w:asciiTheme="minorHAnsi" w:hAnsiTheme="minorHAnsi" w:cstheme="minorHAnsi"/>
                <w:b/>
                <w:bCs/>
              </w:rPr>
              <w:t>tudijní literatura (Autoři: Název, Vydavatelství, Rok vydání, ISBN):</w:t>
            </w:r>
          </w:p>
        </w:tc>
      </w:tr>
      <w:tr w:rsidR="00CF5D56" w:rsidRPr="00892855" w:rsidTr="0086140C">
        <w:trPr>
          <w:trHeight w:hRule="exact" w:val="575"/>
        </w:trPr>
        <w:tc>
          <w:tcPr>
            <w:tcW w:w="9296" w:type="dxa"/>
            <w:noWrap/>
          </w:tcPr>
          <w:p w:rsidR="00CF5D56" w:rsidRPr="00892855" w:rsidRDefault="0086140C" w:rsidP="001E3A49">
            <w:pPr>
              <w:rPr>
                <w:rFonts w:asciiTheme="minorHAnsi" w:hAnsiTheme="minorHAnsi" w:cstheme="minorHAnsi"/>
              </w:rPr>
            </w:pPr>
            <w:r w:rsidRPr="0086140C">
              <w:rPr>
                <w:rFonts w:asciiTheme="minorHAnsi" w:hAnsiTheme="minorHAnsi" w:cstheme="minorHAnsi"/>
              </w:rPr>
              <w:t>MUŽÍK, Tomáš. </w:t>
            </w:r>
            <w:r w:rsidRPr="0086140C">
              <w:rPr>
                <w:rFonts w:asciiTheme="minorHAnsi" w:hAnsiTheme="minorHAnsi" w:cstheme="minorHAnsi"/>
                <w:i/>
                <w:iCs/>
              </w:rPr>
              <w:t>Prodej na prvním místě: manuál pro firmy, jak pomocí sociálních sítí opravdu vydělávat</w:t>
            </w:r>
            <w:r w:rsidRPr="0086140C">
              <w:rPr>
                <w:rFonts w:asciiTheme="minorHAnsi" w:hAnsiTheme="minorHAnsi" w:cstheme="minorHAnsi"/>
              </w:rPr>
              <w:t>. Česko: [Tomáš Mužík], 2019. ISBN 978-80-270-5660-6.</w:t>
            </w:r>
            <w:bookmarkStart w:id="0" w:name="_GoBack"/>
            <w:bookmarkEnd w:id="0"/>
          </w:p>
        </w:tc>
      </w:tr>
      <w:tr w:rsidR="00D77D00" w:rsidRPr="00892855" w:rsidTr="00CF5D56">
        <w:trPr>
          <w:trHeight w:hRule="exact" w:val="284"/>
        </w:trPr>
        <w:tc>
          <w:tcPr>
            <w:tcW w:w="9296" w:type="dxa"/>
            <w:noWrap/>
          </w:tcPr>
          <w:p w:rsidR="00D77D00" w:rsidRDefault="00D77D00" w:rsidP="001E3A49">
            <w:pPr>
              <w:rPr>
                <w:rFonts w:asciiTheme="minorHAnsi" w:hAnsiTheme="minorHAnsi" w:cstheme="minorHAnsi"/>
              </w:rPr>
            </w:pPr>
            <w:r w:rsidRPr="00D77D00">
              <w:rPr>
                <w:rFonts w:asciiTheme="minorHAnsi" w:hAnsiTheme="minorHAnsi" w:cstheme="minorHAnsi"/>
              </w:rPr>
              <w:t>MCKEE, Steve. </w:t>
            </w:r>
            <w:r w:rsidRPr="00D77D00">
              <w:rPr>
                <w:rFonts w:asciiTheme="minorHAnsi" w:hAnsiTheme="minorHAnsi" w:cstheme="minorHAnsi"/>
                <w:i/>
                <w:iCs/>
              </w:rPr>
              <w:t>Co dělat, když firma přestane růst</w:t>
            </w:r>
            <w:r w:rsidRPr="00D77D00">
              <w:rPr>
                <w:rFonts w:asciiTheme="minorHAnsi" w:hAnsiTheme="minorHAnsi" w:cstheme="minorHAnsi"/>
              </w:rPr>
              <w:t>. Praha: Grada, 2010. ISBN 978-80-247-3316-6.</w:t>
            </w:r>
          </w:p>
        </w:tc>
      </w:tr>
      <w:tr w:rsidR="00D77D00" w:rsidRPr="00892855" w:rsidTr="00D77D00">
        <w:trPr>
          <w:trHeight w:hRule="exact" w:val="548"/>
        </w:trPr>
        <w:tc>
          <w:tcPr>
            <w:tcW w:w="9296" w:type="dxa"/>
            <w:noWrap/>
          </w:tcPr>
          <w:p w:rsidR="00D77D00" w:rsidRDefault="00D77D00" w:rsidP="001E3A49">
            <w:pPr>
              <w:rPr>
                <w:rFonts w:asciiTheme="minorHAnsi" w:hAnsiTheme="minorHAnsi" w:cstheme="minorHAnsi"/>
              </w:rPr>
            </w:pPr>
            <w:r w:rsidRPr="00D77D00">
              <w:rPr>
                <w:rFonts w:asciiTheme="minorHAnsi" w:hAnsiTheme="minorHAnsi" w:cstheme="minorHAnsi"/>
              </w:rPr>
              <w:t>JAY, Ros a Richard TEMPLAR. </w:t>
            </w:r>
            <w:r w:rsidRPr="00D77D00">
              <w:rPr>
                <w:rFonts w:asciiTheme="minorHAnsi" w:hAnsiTheme="minorHAnsi" w:cstheme="minorHAnsi"/>
                <w:i/>
                <w:iCs/>
              </w:rPr>
              <w:t>Velká kniha manažerských dovedností</w:t>
            </w:r>
            <w:r w:rsidRPr="00D77D00">
              <w:rPr>
                <w:rFonts w:asciiTheme="minorHAnsi" w:hAnsiTheme="minorHAnsi" w:cstheme="minorHAnsi"/>
              </w:rPr>
              <w:t>. Praha: Grada, 2006. ISBN 978-80-247-1279-6.</w:t>
            </w:r>
          </w:p>
        </w:tc>
      </w:tr>
      <w:tr w:rsidR="00CF5D56" w:rsidRPr="00892855" w:rsidTr="0086140C">
        <w:trPr>
          <w:trHeight w:hRule="exact" w:val="576"/>
        </w:trPr>
        <w:tc>
          <w:tcPr>
            <w:tcW w:w="9296" w:type="dxa"/>
            <w:noWrap/>
          </w:tcPr>
          <w:p w:rsidR="00CF5D56" w:rsidRPr="00892855" w:rsidRDefault="0086140C" w:rsidP="001E3A49">
            <w:pPr>
              <w:rPr>
                <w:rFonts w:asciiTheme="minorHAnsi" w:hAnsiTheme="minorHAnsi" w:cstheme="minorHAnsi"/>
              </w:rPr>
            </w:pPr>
            <w:r w:rsidRPr="0086140C">
              <w:rPr>
                <w:rFonts w:asciiTheme="minorHAnsi" w:hAnsiTheme="minorHAnsi" w:cstheme="minorHAnsi"/>
              </w:rPr>
              <w:t>DAWSON, Roger. </w:t>
            </w:r>
            <w:r w:rsidRPr="0086140C">
              <w:rPr>
                <w:rFonts w:asciiTheme="minorHAnsi" w:hAnsiTheme="minorHAnsi" w:cstheme="minorHAnsi"/>
                <w:i/>
                <w:iCs/>
              </w:rPr>
              <w:t>Tajemství efektivního vyjednávání: tajemství mistra vyjednávání</w:t>
            </w:r>
            <w:r w:rsidRPr="0086140C">
              <w:rPr>
                <w:rFonts w:asciiTheme="minorHAnsi" w:hAnsiTheme="minorHAnsi" w:cstheme="minorHAnsi"/>
              </w:rPr>
              <w:t>. Olomouc: ANAG, c2012. ISBN 978-80-7263-764-5.</w:t>
            </w:r>
          </w:p>
        </w:tc>
      </w:tr>
      <w:tr w:rsidR="007D226F" w:rsidRPr="00892855" w:rsidTr="00E928A0">
        <w:trPr>
          <w:trHeight w:hRule="exact" w:val="284"/>
        </w:trPr>
        <w:tc>
          <w:tcPr>
            <w:tcW w:w="9296" w:type="dxa"/>
            <w:tcBorders>
              <w:bottom w:val="single" w:sz="4" w:space="0" w:color="4F81BD" w:themeColor="accent1"/>
            </w:tcBorders>
            <w:shd w:val="clear" w:color="auto" w:fill="8DB3E2" w:themeFill="text2" w:themeFillTint="66"/>
            <w:noWrap/>
          </w:tcPr>
          <w:p w:rsidR="007D226F" w:rsidRPr="00863611" w:rsidRDefault="00863611" w:rsidP="00CF5D56">
            <w:pPr>
              <w:rPr>
                <w:rFonts w:asciiTheme="minorHAnsi" w:hAnsiTheme="minorHAnsi" w:cstheme="minorHAnsi"/>
                <w:b/>
              </w:rPr>
            </w:pPr>
            <w:r w:rsidRPr="00863611">
              <w:rPr>
                <w:rFonts w:asciiTheme="minorHAnsi" w:hAnsiTheme="minorHAnsi" w:cstheme="minorHAnsi"/>
                <w:b/>
              </w:rPr>
              <w:t xml:space="preserve">Ostatní </w:t>
            </w:r>
            <w:r>
              <w:rPr>
                <w:rFonts w:asciiTheme="minorHAnsi" w:hAnsiTheme="minorHAnsi" w:cstheme="minorHAnsi"/>
                <w:b/>
              </w:rPr>
              <w:t xml:space="preserve">užitečné </w:t>
            </w:r>
            <w:r w:rsidRPr="00863611">
              <w:rPr>
                <w:rFonts w:asciiTheme="minorHAnsi" w:hAnsiTheme="minorHAnsi" w:cstheme="minorHAnsi"/>
                <w:b/>
              </w:rPr>
              <w:t>zdroje</w:t>
            </w:r>
            <w:r>
              <w:rPr>
                <w:rFonts w:asciiTheme="minorHAnsi" w:hAnsiTheme="minorHAnsi" w:cstheme="minorHAnsi"/>
                <w:b/>
              </w:rPr>
              <w:t xml:space="preserve"> (videomateriály, online profesní skupiny, blogy, diskuse atd.):</w:t>
            </w:r>
          </w:p>
        </w:tc>
      </w:tr>
      <w:tr w:rsidR="007D226F" w:rsidRPr="00892855" w:rsidTr="00E928A0">
        <w:trPr>
          <w:trHeight w:hRule="exact" w:val="284"/>
        </w:trPr>
        <w:tc>
          <w:tcPr>
            <w:tcW w:w="9296" w:type="dxa"/>
            <w:tcBorders>
              <w:top w:val="single" w:sz="4" w:space="0" w:color="4F81BD" w:themeColor="accent1"/>
            </w:tcBorders>
            <w:noWrap/>
          </w:tcPr>
          <w:p w:rsidR="007D226F" w:rsidRPr="00892855" w:rsidRDefault="00586649" w:rsidP="00CF5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Hospodářské noviny, Euro, Profit, </w:t>
            </w:r>
            <w:proofErr w:type="spellStart"/>
            <w:r>
              <w:rPr>
                <w:rFonts w:asciiTheme="minorHAnsi" w:hAnsiTheme="minorHAnsi" w:cstheme="minorHAnsi"/>
              </w:rPr>
              <w:t>Trade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news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7D226F" w:rsidRPr="00892855" w:rsidTr="00CF5D56">
        <w:trPr>
          <w:trHeight w:hRule="exact" w:val="284"/>
        </w:trPr>
        <w:tc>
          <w:tcPr>
            <w:tcW w:w="9296" w:type="dxa"/>
            <w:noWrap/>
          </w:tcPr>
          <w:p w:rsidR="007D226F" w:rsidRPr="00892855" w:rsidRDefault="00586649" w:rsidP="00CF5D5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Economist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Handelsblatt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</w:tc>
      </w:tr>
      <w:tr w:rsidR="00863611" w:rsidRPr="00892855" w:rsidTr="00CF5D56">
        <w:trPr>
          <w:trHeight w:hRule="exact" w:val="284"/>
        </w:trPr>
        <w:tc>
          <w:tcPr>
            <w:tcW w:w="9296" w:type="dxa"/>
            <w:noWrap/>
          </w:tcPr>
          <w:p w:rsidR="00863611" w:rsidRPr="00892855" w:rsidRDefault="001E3A49" w:rsidP="00A85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In</w:t>
            </w:r>
            <w:r w:rsidR="00A856FF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o.cz</w:t>
            </w:r>
          </w:p>
        </w:tc>
      </w:tr>
      <w:tr w:rsidR="00863611" w:rsidRPr="00892855" w:rsidTr="00CF5D56">
        <w:trPr>
          <w:trHeight w:hRule="exact" w:val="284"/>
        </w:trPr>
        <w:tc>
          <w:tcPr>
            <w:tcW w:w="9296" w:type="dxa"/>
            <w:noWrap/>
          </w:tcPr>
          <w:p w:rsidR="00863611" w:rsidRPr="00892855" w:rsidRDefault="00863611" w:rsidP="00CF5D56">
            <w:pPr>
              <w:rPr>
                <w:rFonts w:asciiTheme="minorHAnsi" w:hAnsiTheme="minorHAnsi" w:cstheme="minorHAnsi"/>
              </w:rPr>
            </w:pPr>
          </w:p>
        </w:tc>
      </w:tr>
    </w:tbl>
    <w:p w:rsidR="006618C2" w:rsidRPr="00892855" w:rsidRDefault="006618C2" w:rsidP="00394C09">
      <w:pPr>
        <w:rPr>
          <w:rFonts w:asciiTheme="minorHAnsi" w:hAnsiTheme="minorHAnsi" w:cstheme="minorHAnsi"/>
        </w:rPr>
      </w:pPr>
    </w:p>
    <w:sectPr w:rsidR="006618C2" w:rsidRPr="00892855" w:rsidSect="00B379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6F" w:rsidRDefault="0061506F">
      <w:r>
        <w:separator/>
      </w:r>
    </w:p>
  </w:endnote>
  <w:endnote w:type="continuationSeparator" w:id="0">
    <w:p w:rsidR="0061506F" w:rsidRDefault="0061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6F" w:rsidRDefault="0061506F">
      <w:r>
        <w:separator/>
      </w:r>
    </w:p>
  </w:footnote>
  <w:footnote w:type="continuationSeparator" w:id="0">
    <w:p w:rsidR="0061506F" w:rsidRDefault="0061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5A" w:rsidRPr="00FB3550" w:rsidRDefault="0075675A" w:rsidP="00FB3550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2242185" cy="779145"/>
          <wp:effectExtent l="1905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269"/>
    <w:multiLevelType w:val="hybridMultilevel"/>
    <w:tmpl w:val="2884A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32B2"/>
    <w:multiLevelType w:val="hybridMultilevel"/>
    <w:tmpl w:val="3F8E93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6143C"/>
    <w:multiLevelType w:val="hybridMultilevel"/>
    <w:tmpl w:val="0340FE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C0AA5"/>
    <w:multiLevelType w:val="hybridMultilevel"/>
    <w:tmpl w:val="06B6BA82"/>
    <w:lvl w:ilvl="0" w:tplc="BB540F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F200845"/>
    <w:multiLevelType w:val="hybridMultilevel"/>
    <w:tmpl w:val="BF1C3890"/>
    <w:lvl w:ilvl="0" w:tplc="C6F8B4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D634C0"/>
    <w:multiLevelType w:val="hybridMultilevel"/>
    <w:tmpl w:val="8FBA69A2"/>
    <w:lvl w:ilvl="0" w:tplc="C6F8B4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0E63B0"/>
    <w:multiLevelType w:val="hybridMultilevel"/>
    <w:tmpl w:val="49BE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26AA5"/>
    <w:multiLevelType w:val="hybridMultilevel"/>
    <w:tmpl w:val="7E4A3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7D6C50"/>
    <w:multiLevelType w:val="hybridMultilevel"/>
    <w:tmpl w:val="FC68E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C516E"/>
    <w:multiLevelType w:val="hybridMultilevel"/>
    <w:tmpl w:val="3F8E93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08"/>
    <w:rsid w:val="00014B77"/>
    <w:rsid w:val="00021367"/>
    <w:rsid w:val="000365EF"/>
    <w:rsid w:val="00036EB6"/>
    <w:rsid w:val="0007691E"/>
    <w:rsid w:val="000A0C06"/>
    <w:rsid w:val="000C3155"/>
    <w:rsid w:val="000D4C38"/>
    <w:rsid w:val="000D60DE"/>
    <w:rsid w:val="000E0A21"/>
    <w:rsid w:val="000E196F"/>
    <w:rsid w:val="000F09FF"/>
    <w:rsid w:val="00103E0B"/>
    <w:rsid w:val="00106FC1"/>
    <w:rsid w:val="00130ED5"/>
    <w:rsid w:val="00137653"/>
    <w:rsid w:val="00141C47"/>
    <w:rsid w:val="00144F3D"/>
    <w:rsid w:val="00151837"/>
    <w:rsid w:val="00156D96"/>
    <w:rsid w:val="001910EC"/>
    <w:rsid w:val="001936EA"/>
    <w:rsid w:val="001C19B2"/>
    <w:rsid w:val="001D321B"/>
    <w:rsid w:val="001E3A49"/>
    <w:rsid w:val="001F2AFB"/>
    <w:rsid w:val="0020095D"/>
    <w:rsid w:val="002126B9"/>
    <w:rsid w:val="00220429"/>
    <w:rsid w:val="0022558F"/>
    <w:rsid w:val="00236A86"/>
    <w:rsid w:val="00241496"/>
    <w:rsid w:val="00243620"/>
    <w:rsid w:val="00260760"/>
    <w:rsid w:val="00262A7D"/>
    <w:rsid w:val="00266771"/>
    <w:rsid w:val="00270312"/>
    <w:rsid w:val="00294364"/>
    <w:rsid w:val="002A0F66"/>
    <w:rsid w:val="002B3242"/>
    <w:rsid w:val="002B6E03"/>
    <w:rsid w:val="002C1F90"/>
    <w:rsid w:val="00320911"/>
    <w:rsid w:val="00320CE6"/>
    <w:rsid w:val="00324BE0"/>
    <w:rsid w:val="003422C9"/>
    <w:rsid w:val="00363349"/>
    <w:rsid w:val="00386A14"/>
    <w:rsid w:val="0039127B"/>
    <w:rsid w:val="00394C09"/>
    <w:rsid w:val="00395CCF"/>
    <w:rsid w:val="003A2552"/>
    <w:rsid w:val="003A4270"/>
    <w:rsid w:val="003B117E"/>
    <w:rsid w:val="003E03E9"/>
    <w:rsid w:val="003E4919"/>
    <w:rsid w:val="003F4B75"/>
    <w:rsid w:val="003F4EC9"/>
    <w:rsid w:val="004052BB"/>
    <w:rsid w:val="00424EAE"/>
    <w:rsid w:val="00425A8D"/>
    <w:rsid w:val="00426F18"/>
    <w:rsid w:val="0043392B"/>
    <w:rsid w:val="0045463E"/>
    <w:rsid w:val="00466ACB"/>
    <w:rsid w:val="004700D2"/>
    <w:rsid w:val="00472679"/>
    <w:rsid w:val="004816E4"/>
    <w:rsid w:val="004A262A"/>
    <w:rsid w:val="004A3618"/>
    <w:rsid w:val="004A455A"/>
    <w:rsid w:val="004B0BB7"/>
    <w:rsid w:val="004F3928"/>
    <w:rsid w:val="0050251F"/>
    <w:rsid w:val="00512F6E"/>
    <w:rsid w:val="005479F0"/>
    <w:rsid w:val="00550F4C"/>
    <w:rsid w:val="00561A40"/>
    <w:rsid w:val="005661A2"/>
    <w:rsid w:val="00581D3A"/>
    <w:rsid w:val="00586649"/>
    <w:rsid w:val="005929A1"/>
    <w:rsid w:val="00597E61"/>
    <w:rsid w:val="005B4EE7"/>
    <w:rsid w:val="005D3D49"/>
    <w:rsid w:val="005E79E0"/>
    <w:rsid w:val="005F2674"/>
    <w:rsid w:val="005F34FA"/>
    <w:rsid w:val="00600976"/>
    <w:rsid w:val="0061506F"/>
    <w:rsid w:val="00633F20"/>
    <w:rsid w:val="00641540"/>
    <w:rsid w:val="0065049F"/>
    <w:rsid w:val="006618C2"/>
    <w:rsid w:val="00665C60"/>
    <w:rsid w:val="00685FC3"/>
    <w:rsid w:val="006A35FA"/>
    <w:rsid w:val="006B4C08"/>
    <w:rsid w:val="006C085E"/>
    <w:rsid w:val="006E18CE"/>
    <w:rsid w:val="00704E08"/>
    <w:rsid w:val="00712EE1"/>
    <w:rsid w:val="007424D0"/>
    <w:rsid w:val="007542A7"/>
    <w:rsid w:val="00755099"/>
    <w:rsid w:val="0075675A"/>
    <w:rsid w:val="00763EFE"/>
    <w:rsid w:val="0077483E"/>
    <w:rsid w:val="00774893"/>
    <w:rsid w:val="007929F9"/>
    <w:rsid w:val="007A1DA7"/>
    <w:rsid w:val="007B47F6"/>
    <w:rsid w:val="007D05A2"/>
    <w:rsid w:val="007D226F"/>
    <w:rsid w:val="007D2EEB"/>
    <w:rsid w:val="00802E72"/>
    <w:rsid w:val="00804DBA"/>
    <w:rsid w:val="008117E6"/>
    <w:rsid w:val="00817AC0"/>
    <w:rsid w:val="008326DB"/>
    <w:rsid w:val="008516DA"/>
    <w:rsid w:val="0086140C"/>
    <w:rsid w:val="008629D2"/>
    <w:rsid w:val="00863611"/>
    <w:rsid w:val="00864353"/>
    <w:rsid w:val="008720AA"/>
    <w:rsid w:val="0087444C"/>
    <w:rsid w:val="0087543C"/>
    <w:rsid w:val="00875D94"/>
    <w:rsid w:val="0087785D"/>
    <w:rsid w:val="008856F4"/>
    <w:rsid w:val="00892855"/>
    <w:rsid w:val="008A0386"/>
    <w:rsid w:val="008A5876"/>
    <w:rsid w:val="008B3FE3"/>
    <w:rsid w:val="008B79EC"/>
    <w:rsid w:val="0090282F"/>
    <w:rsid w:val="00917D98"/>
    <w:rsid w:val="00931713"/>
    <w:rsid w:val="00942B9F"/>
    <w:rsid w:val="00950E5F"/>
    <w:rsid w:val="0096338E"/>
    <w:rsid w:val="0096524C"/>
    <w:rsid w:val="00967C12"/>
    <w:rsid w:val="00971B6E"/>
    <w:rsid w:val="00973420"/>
    <w:rsid w:val="00974335"/>
    <w:rsid w:val="00997D9A"/>
    <w:rsid w:val="009B0EA5"/>
    <w:rsid w:val="009B5465"/>
    <w:rsid w:val="009B630E"/>
    <w:rsid w:val="009C12F6"/>
    <w:rsid w:val="009C1DEC"/>
    <w:rsid w:val="009C31D9"/>
    <w:rsid w:val="009C5BA1"/>
    <w:rsid w:val="009E0644"/>
    <w:rsid w:val="009E232D"/>
    <w:rsid w:val="009F272A"/>
    <w:rsid w:val="00A24F1B"/>
    <w:rsid w:val="00A26125"/>
    <w:rsid w:val="00A335E0"/>
    <w:rsid w:val="00A40AA2"/>
    <w:rsid w:val="00A541B3"/>
    <w:rsid w:val="00A57E79"/>
    <w:rsid w:val="00A6427F"/>
    <w:rsid w:val="00A84061"/>
    <w:rsid w:val="00A856FF"/>
    <w:rsid w:val="00A959F7"/>
    <w:rsid w:val="00AA6FC6"/>
    <w:rsid w:val="00AB131F"/>
    <w:rsid w:val="00AB2C98"/>
    <w:rsid w:val="00AB65A3"/>
    <w:rsid w:val="00AC576F"/>
    <w:rsid w:val="00AD2083"/>
    <w:rsid w:val="00B056F2"/>
    <w:rsid w:val="00B07CA8"/>
    <w:rsid w:val="00B154FC"/>
    <w:rsid w:val="00B26A08"/>
    <w:rsid w:val="00B35968"/>
    <w:rsid w:val="00B37243"/>
    <w:rsid w:val="00B379F1"/>
    <w:rsid w:val="00B61C10"/>
    <w:rsid w:val="00B627F6"/>
    <w:rsid w:val="00B65EB6"/>
    <w:rsid w:val="00B717B4"/>
    <w:rsid w:val="00BC6943"/>
    <w:rsid w:val="00BC7599"/>
    <w:rsid w:val="00BD4743"/>
    <w:rsid w:val="00BE1CC2"/>
    <w:rsid w:val="00BE2FD9"/>
    <w:rsid w:val="00BE5776"/>
    <w:rsid w:val="00BE6715"/>
    <w:rsid w:val="00BF59CD"/>
    <w:rsid w:val="00C066F1"/>
    <w:rsid w:val="00C1276C"/>
    <w:rsid w:val="00C1758F"/>
    <w:rsid w:val="00C2065D"/>
    <w:rsid w:val="00C832F1"/>
    <w:rsid w:val="00C86A46"/>
    <w:rsid w:val="00C93049"/>
    <w:rsid w:val="00C96303"/>
    <w:rsid w:val="00CA763E"/>
    <w:rsid w:val="00CE513E"/>
    <w:rsid w:val="00CE578F"/>
    <w:rsid w:val="00CF5D56"/>
    <w:rsid w:val="00D40CCB"/>
    <w:rsid w:val="00D41FB9"/>
    <w:rsid w:val="00D52B5A"/>
    <w:rsid w:val="00D61CBD"/>
    <w:rsid w:val="00D75ABA"/>
    <w:rsid w:val="00D77D00"/>
    <w:rsid w:val="00D81FA1"/>
    <w:rsid w:val="00DC5724"/>
    <w:rsid w:val="00DD1E2C"/>
    <w:rsid w:val="00DD430C"/>
    <w:rsid w:val="00DE3D59"/>
    <w:rsid w:val="00E046AD"/>
    <w:rsid w:val="00E13306"/>
    <w:rsid w:val="00E25A9D"/>
    <w:rsid w:val="00E52304"/>
    <w:rsid w:val="00E54C66"/>
    <w:rsid w:val="00E82BA5"/>
    <w:rsid w:val="00E928A0"/>
    <w:rsid w:val="00E96C45"/>
    <w:rsid w:val="00EA5159"/>
    <w:rsid w:val="00EB6AEC"/>
    <w:rsid w:val="00EC0E07"/>
    <w:rsid w:val="00EE1A8C"/>
    <w:rsid w:val="00F10B7A"/>
    <w:rsid w:val="00F26132"/>
    <w:rsid w:val="00F34BAE"/>
    <w:rsid w:val="00F35080"/>
    <w:rsid w:val="00F52C45"/>
    <w:rsid w:val="00F54235"/>
    <w:rsid w:val="00F552AA"/>
    <w:rsid w:val="00F71041"/>
    <w:rsid w:val="00F82AD2"/>
    <w:rsid w:val="00F86D9F"/>
    <w:rsid w:val="00F93A56"/>
    <w:rsid w:val="00FA51D6"/>
    <w:rsid w:val="00FB3550"/>
    <w:rsid w:val="00FB554D"/>
    <w:rsid w:val="00FC77B9"/>
    <w:rsid w:val="00FD3631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D489B"/>
  <w15:docId w15:val="{574E273B-2C17-46EA-B828-2B2EEF05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79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04E08"/>
    <w:pPr>
      <w:ind w:left="720"/>
      <w:contextualSpacing/>
    </w:pPr>
  </w:style>
  <w:style w:type="character" w:styleId="Hypertextovodkaz">
    <w:name w:val="Hyperlink"/>
    <w:basedOn w:val="Standardnpsmoodstavce"/>
    <w:rsid w:val="0096524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C1D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F93A56"/>
    <w:rPr>
      <w:rFonts w:cs="Times New Roman"/>
      <w:lang w:eastAsia="en-US"/>
    </w:rPr>
  </w:style>
  <w:style w:type="paragraph" w:styleId="Zpat">
    <w:name w:val="footer"/>
    <w:basedOn w:val="Normln"/>
    <w:link w:val="ZpatChar"/>
    <w:rsid w:val="009C1D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F93A56"/>
    <w:rPr>
      <w:rFonts w:cs="Times New Roman"/>
      <w:lang w:eastAsia="en-US"/>
    </w:rPr>
  </w:style>
  <w:style w:type="table" w:styleId="Mkatabulky">
    <w:name w:val="Table Grid"/>
    <w:basedOn w:val="Normlntabulka"/>
    <w:locked/>
    <w:rsid w:val="00B07C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rsid w:val="0086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435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5D9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9285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4052B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052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052BB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052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052BB"/>
    <w:rPr>
      <w:rFonts w:eastAsia="Times New Roman"/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7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port.cz/kniha/marketing-management-7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I\Desktop\USB%20FLASH\CEMI\loga\&#353;ablony%20PPT%20+%20Word\&#352;ablona%20CEMI%20Wor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B696-C411-493A-A7B6-95728945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CEMI Word</Template>
  <TotalTime>15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CEMI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CEMI</dc:creator>
  <cp:lastModifiedBy>Eva Mečířová</cp:lastModifiedBy>
  <cp:revision>5</cp:revision>
  <cp:lastPrinted>2011-01-19T13:22:00Z</cp:lastPrinted>
  <dcterms:created xsi:type="dcterms:W3CDTF">2019-07-02T12:11:00Z</dcterms:created>
  <dcterms:modified xsi:type="dcterms:W3CDTF">2019-07-09T11:11:00Z</dcterms:modified>
</cp:coreProperties>
</file>